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DE" w:rsidRPr="00F44232" w:rsidRDefault="00BD66DE" w:rsidP="00FB542C">
      <w:pPr>
        <w:tabs>
          <w:tab w:val="left" w:pos="567"/>
        </w:tabs>
        <w:jc w:val="both"/>
        <w:rPr>
          <w:b/>
          <w:sz w:val="26"/>
          <w:szCs w:val="26"/>
          <w:lang w:val="en-US"/>
        </w:rPr>
      </w:pPr>
      <w:r w:rsidRPr="00F44232">
        <w:rPr>
          <w:sz w:val="26"/>
          <w:szCs w:val="26"/>
          <w:lang w:val="en-US"/>
        </w:rPr>
        <w:t xml:space="preserve">PHÒNG GDĐT BÀU BÀNG  </w:t>
      </w:r>
      <w:r>
        <w:rPr>
          <w:sz w:val="26"/>
          <w:szCs w:val="26"/>
          <w:lang w:val="en-US"/>
        </w:rPr>
        <w:t xml:space="preserve">        </w:t>
      </w:r>
      <w:r w:rsidRPr="00F44232">
        <w:rPr>
          <w:b/>
          <w:sz w:val="26"/>
          <w:szCs w:val="26"/>
          <w:lang w:val="en-US"/>
        </w:rPr>
        <w:t>CỘNG HÒA XÃ HỘI CHỦ NGHĨA VIỆT NAM</w:t>
      </w:r>
    </w:p>
    <w:p w:rsidR="00BD66DE" w:rsidRPr="00F44232" w:rsidRDefault="00BD66DE" w:rsidP="00BD66DE">
      <w:pPr>
        <w:jc w:val="both"/>
        <w:rPr>
          <w:sz w:val="26"/>
          <w:szCs w:val="26"/>
          <w:lang w:val="en-US"/>
        </w:rPr>
      </w:pPr>
      <w:r w:rsidRPr="00F44232">
        <w:rPr>
          <w:b/>
          <w:sz w:val="26"/>
          <w:szCs w:val="26"/>
          <w:lang w:val="en-US"/>
        </w:rPr>
        <w:t xml:space="preserve">TRƯỜNG THCS LAI UYÊN          </w:t>
      </w:r>
      <w:r>
        <w:rPr>
          <w:b/>
          <w:sz w:val="26"/>
          <w:szCs w:val="26"/>
          <w:lang w:val="en-US"/>
        </w:rPr>
        <w:t xml:space="preserve">            </w:t>
      </w:r>
      <w:r w:rsidRPr="00F44232">
        <w:rPr>
          <w:b/>
          <w:sz w:val="26"/>
          <w:szCs w:val="26"/>
          <w:lang w:val="en-US"/>
        </w:rPr>
        <w:t xml:space="preserve"> Độc lập – tự do – Hạnh phúc</w:t>
      </w:r>
    </w:p>
    <w:p w:rsidR="00B47052" w:rsidRDefault="00BD66DE">
      <w:pPr>
        <w:rPr>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3053714</wp:posOffset>
                </wp:positionH>
                <wp:positionV relativeFrom="paragraph">
                  <wp:posOffset>24130</wp:posOffset>
                </wp:positionV>
                <wp:extent cx="1895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45pt,1.9pt" to="38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" strokecolor="#4579b8 [3044]"/>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24130</wp:posOffset>
                </wp:positionV>
                <wp:extent cx="828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7pt,1.9pt" to="112.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" strokecolor="#4579b8 [3044]"/>
            </w:pict>
          </mc:Fallback>
        </mc:AlternateContent>
      </w:r>
      <w:r>
        <w:rPr>
          <w:lang w:val="en-US"/>
        </w:rPr>
        <w:t xml:space="preserve"> </w:t>
      </w:r>
    </w:p>
    <w:p w:rsidR="00BD66DE" w:rsidRDefault="009337C4">
      <w:pPr>
        <w:rPr>
          <w:i/>
          <w:lang w:val="en-US"/>
        </w:rPr>
      </w:pPr>
      <w:r>
        <w:rPr>
          <w:lang w:val="en-US"/>
        </w:rPr>
        <w:t xml:space="preserve">   </w:t>
      </w:r>
      <w:proofErr w:type="gramStart"/>
      <w:r>
        <w:rPr>
          <w:lang w:val="en-US"/>
        </w:rPr>
        <w:t>Số  01</w:t>
      </w:r>
      <w:proofErr w:type="gramEnd"/>
      <w:r w:rsidR="00BD66DE">
        <w:rPr>
          <w:lang w:val="en-US"/>
        </w:rPr>
        <w:t xml:space="preserve">/QĐ-THCSLU                           </w:t>
      </w:r>
      <w:r>
        <w:rPr>
          <w:i/>
          <w:lang w:val="en-US"/>
        </w:rPr>
        <w:t>Lai Uyên, ngày  03</w:t>
      </w:r>
      <w:r w:rsidR="00BD66DE" w:rsidRPr="00BD66DE">
        <w:rPr>
          <w:i/>
          <w:lang w:val="en-US"/>
        </w:rPr>
        <w:t xml:space="preserve"> tháng  01 năm  2023</w:t>
      </w:r>
    </w:p>
    <w:p w:rsidR="00BD66DE" w:rsidRDefault="00BD66DE" w:rsidP="007A6F7F">
      <w:pPr>
        <w:rPr>
          <w:lang w:val="en-US"/>
        </w:rPr>
      </w:pPr>
    </w:p>
    <w:p w:rsidR="00BD66DE" w:rsidRDefault="00BD66DE" w:rsidP="00BD66DE">
      <w:pPr>
        <w:jc w:val="center"/>
        <w:rPr>
          <w:b/>
          <w:lang w:val="en-US"/>
        </w:rPr>
      </w:pPr>
      <w:r w:rsidRPr="00BD66DE">
        <w:rPr>
          <w:b/>
          <w:lang w:val="en-US"/>
        </w:rPr>
        <w:t>QUYẾT ĐỊNH</w:t>
      </w:r>
    </w:p>
    <w:p w:rsidR="00BD66DE" w:rsidRDefault="00BD66DE" w:rsidP="00BD66DE">
      <w:pPr>
        <w:jc w:val="center"/>
        <w:rPr>
          <w:b/>
          <w:lang w:val="en-US"/>
        </w:rPr>
      </w:pPr>
      <w:r>
        <w:rPr>
          <w:b/>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2434590</wp:posOffset>
                </wp:positionH>
                <wp:positionV relativeFrom="paragraph">
                  <wp:posOffset>220980</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7pt,17.4pt" to="283.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0ItwEAAMMDAAAOAAAAZHJzL2Uyb0RvYy54bWysU8Fu2zAMvQ/YPwi6L3ZSrB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" strokecolor="#4579b8 [3044]"/>
            </w:pict>
          </mc:Fallback>
        </mc:AlternateContent>
      </w:r>
      <w:r>
        <w:rPr>
          <w:b/>
          <w:lang w:val="en-US"/>
        </w:rPr>
        <w:t>Ban hành quy chế văn hóa công vụ</w:t>
      </w:r>
    </w:p>
    <w:p w:rsidR="00BD66DE" w:rsidRDefault="00BD66DE" w:rsidP="00BD66DE">
      <w:pPr>
        <w:jc w:val="center"/>
        <w:rPr>
          <w:b/>
          <w:lang w:val="en-US"/>
        </w:rPr>
      </w:pPr>
    </w:p>
    <w:p w:rsidR="00BD66DE" w:rsidRDefault="00BD66DE" w:rsidP="00BD66DE">
      <w:pPr>
        <w:jc w:val="center"/>
        <w:rPr>
          <w:b/>
          <w:lang w:val="en-US"/>
        </w:rPr>
      </w:pPr>
      <w:r>
        <w:rPr>
          <w:b/>
          <w:lang w:val="en-US"/>
        </w:rPr>
        <w:t>HIỆU TRƯỞNG TRƯỜNG THCS LAI UYÊN</w:t>
      </w:r>
    </w:p>
    <w:p w:rsidR="00BD66DE" w:rsidRDefault="00BD66DE" w:rsidP="00BD66DE">
      <w:pPr>
        <w:jc w:val="center"/>
        <w:rPr>
          <w:b/>
          <w:lang w:val="en-US"/>
        </w:rPr>
      </w:pPr>
    </w:p>
    <w:p w:rsidR="00BD66DE" w:rsidRPr="007A6F7F" w:rsidRDefault="00BD66DE" w:rsidP="00EB5FEC">
      <w:pPr>
        <w:tabs>
          <w:tab w:val="left" w:pos="567"/>
        </w:tabs>
        <w:jc w:val="both"/>
        <w:rPr>
          <w:i/>
          <w:lang w:val="en-US"/>
        </w:rPr>
      </w:pPr>
      <w:r w:rsidRPr="007A6F7F">
        <w:rPr>
          <w:b/>
          <w:i/>
          <w:lang w:val="en-US"/>
        </w:rPr>
        <w:t xml:space="preserve">        </w:t>
      </w:r>
      <w:r w:rsidRPr="007A6F7F">
        <w:rPr>
          <w:i/>
          <w:lang w:val="en-US"/>
        </w:rPr>
        <w:t>Căn cứ Luật Tổ chức chính quyền địa phương ngày 19 tháng 6 năm 2015;</w:t>
      </w:r>
    </w:p>
    <w:p w:rsidR="00BD66DE" w:rsidRPr="007A6F7F" w:rsidRDefault="00BD66DE" w:rsidP="00EB5FEC">
      <w:pPr>
        <w:tabs>
          <w:tab w:val="left" w:pos="567"/>
        </w:tabs>
        <w:jc w:val="both"/>
        <w:rPr>
          <w:i/>
          <w:lang w:val="en-US"/>
        </w:rPr>
      </w:pPr>
      <w:r w:rsidRPr="007A6F7F">
        <w:rPr>
          <w:i/>
          <w:lang w:val="en-US"/>
        </w:rPr>
        <w:t xml:space="preserve">        Căn cứ Luật sửa đổi, bổ sung một số điều của Luật Tổ chức chính phủ và luật Tổ chức chính quyền địa phương ngày 22 tháng 11 năm 2019;</w:t>
      </w:r>
    </w:p>
    <w:p w:rsidR="00BD66DE" w:rsidRPr="007A6F7F" w:rsidRDefault="00BD66DE" w:rsidP="00EB5FEC">
      <w:pPr>
        <w:tabs>
          <w:tab w:val="left" w:pos="567"/>
        </w:tabs>
        <w:jc w:val="both"/>
        <w:rPr>
          <w:i/>
          <w:lang w:val="en-US"/>
        </w:rPr>
      </w:pPr>
      <w:r w:rsidRPr="007A6F7F">
        <w:rPr>
          <w:i/>
          <w:lang w:val="en-US"/>
        </w:rPr>
        <w:t xml:space="preserve">        Căn cứ Luật Ban hành văn bản quy phạm pháp luật ngày 22 tháng 6 năm </w:t>
      </w:r>
      <w:proofErr w:type="gramStart"/>
      <w:r w:rsidRPr="007A6F7F">
        <w:rPr>
          <w:i/>
          <w:lang w:val="en-US"/>
        </w:rPr>
        <w:t>2015;</w:t>
      </w:r>
      <w:proofErr w:type="gramEnd"/>
    </w:p>
    <w:p w:rsidR="00FD2FE6" w:rsidRPr="007A6F7F" w:rsidRDefault="00FD2FE6" w:rsidP="00EB5FEC">
      <w:pPr>
        <w:tabs>
          <w:tab w:val="left" w:pos="567"/>
        </w:tabs>
        <w:jc w:val="both"/>
        <w:rPr>
          <w:i/>
          <w:lang w:val="en-US"/>
        </w:rPr>
      </w:pPr>
      <w:r w:rsidRPr="007A6F7F">
        <w:rPr>
          <w:i/>
          <w:lang w:val="en-US"/>
        </w:rPr>
        <w:t xml:space="preserve">        Căn cứ Luật sửa đổi, bổ sung một số điều của Luật ban hành văn bản quy phạm pháp luật ngày 18 tháng 6 năm 2020;</w:t>
      </w:r>
    </w:p>
    <w:p w:rsidR="00FD2FE6" w:rsidRPr="007A6F7F" w:rsidRDefault="00FD2FE6" w:rsidP="00EB5FEC">
      <w:pPr>
        <w:tabs>
          <w:tab w:val="left" w:pos="567"/>
        </w:tabs>
        <w:jc w:val="both"/>
        <w:rPr>
          <w:i/>
          <w:lang w:val="en-US"/>
        </w:rPr>
      </w:pPr>
      <w:r w:rsidRPr="007A6F7F">
        <w:rPr>
          <w:i/>
          <w:lang w:val="en-US"/>
        </w:rPr>
        <w:t xml:space="preserve">        Căn cứ Luật Cán bộ, công chức ngày 13 tháng 11 năm 2008;</w:t>
      </w:r>
    </w:p>
    <w:p w:rsidR="00FD2FE6" w:rsidRPr="007A6F7F" w:rsidRDefault="00FD2FE6" w:rsidP="00EB5FEC">
      <w:pPr>
        <w:tabs>
          <w:tab w:val="left" w:pos="567"/>
        </w:tabs>
        <w:jc w:val="both"/>
        <w:rPr>
          <w:i/>
          <w:lang w:val="en-US"/>
        </w:rPr>
      </w:pPr>
      <w:r w:rsidRPr="007A6F7F">
        <w:rPr>
          <w:i/>
          <w:lang w:val="en-US"/>
        </w:rPr>
        <w:t xml:space="preserve">        Căn cứ Luật viên chức ngày 15 tháng 11 năm 2010;</w:t>
      </w:r>
    </w:p>
    <w:p w:rsidR="00FD2FE6" w:rsidRPr="007A6F7F" w:rsidRDefault="00FD2FE6" w:rsidP="00EB5FEC">
      <w:pPr>
        <w:tabs>
          <w:tab w:val="left" w:pos="567"/>
        </w:tabs>
        <w:jc w:val="both"/>
        <w:rPr>
          <w:i/>
          <w:lang w:val="en-US"/>
        </w:rPr>
      </w:pPr>
      <w:r w:rsidRPr="007A6F7F">
        <w:rPr>
          <w:i/>
          <w:lang w:val="en-US"/>
        </w:rPr>
        <w:t xml:space="preserve">        Căn cứ Luật sửa đổi, bổ sung một số điều của Luật </w:t>
      </w:r>
      <w:r w:rsidR="007A6F7F">
        <w:rPr>
          <w:i/>
          <w:lang w:val="en-US"/>
        </w:rPr>
        <w:t>c</w:t>
      </w:r>
      <w:r w:rsidRPr="007A6F7F">
        <w:rPr>
          <w:i/>
          <w:lang w:val="en-US"/>
        </w:rPr>
        <w:t xml:space="preserve">án bộ, công chức và luật </w:t>
      </w:r>
      <w:r w:rsidR="007A6F7F">
        <w:rPr>
          <w:i/>
          <w:lang w:val="en-US"/>
        </w:rPr>
        <w:t>V</w:t>
      </w:r>
      <w:r w:rsidRPr="007A6F7F">
        <w:rPr>
          <w:i/>
          <w:lang w:val="en-US"/>
        </w:rPr>
        <w:t>iên chức ngày 25 tháng tháng 11 năm 2019;</w:t>
      </w:r>
    </w:p>
    <w:p w:rsidR="00FD2FE6" w:rsidRPr="007A6F7F" w:rsidRDefault="00FD2FE6" w:rsidP="00EB5FEC">
      <w:pPr>
        <w:tabs>
          <w:tab w:val="left" w:pos="567"/>
        </w:tabs>
        <w:jc w:val="both"/>
        <w:rPr>
          <w:i/>
          <w:lang w:val="en-US"/>
        </w:rPr>
      </w:pPr>
      <w:r w:rsidRPr="007A6F7F">
        <w:rPr>
          <w:i/>
          <w:lang w:val="en-US"/>
        </w:rPr>
        <w:t xml:space="preserve">        Căn cứ Quyết định số 129/2007/QĐ-TTg</w:t>
      </w:r>
      <w:r w:rsidR="007A6F7F">
        <w:rPr>
          <w:i/>
          <w:lang w:val="en-US"/>
        </w:rPr>
        <w:t xml:space="preserve"> ngày 02 tháng 8 năm 2007 của Thủ</w:t>
      </w:r>
      <w:r w:rsidRPr="007A6F7F">
        <w:rPr>
          <w:i/>
          <w:lang w:val="en-US"/>
        </w:rPr>
        <w:t xml:space="preserve"> tướng Chính phủ Ban hành Quy chế văn hóa công sở tại các cơ quan hành chính nhà nước;</w:t>
      </w:r>
    </w:p>
    <w:p w:rsidR="00FD2FE6" w:rsidRPr="007A6F7F" w:rsidRDefault="00FD2FE6" w:rsidP="00EB5FEC">
      <w:pPr>
        <w:tabs>
          <w:tab w:val="left" w:pos="567"/>
        </w:tabs>
        <w:jc w:val="both"/>
        <w:rPr>
          <w:i/>
          <w:lang w:val="en-US"/>
        </w:rPr>
      </w:pPr>
      <w:r w:rsidRPr="007A6F7F">
        <w:rPr>
          <w:i/>
          <w:lang w:val="en-US"/>
        </w:rPr>
        <w:t xml:space="preserve">        Thực hiện Quyết định số 1847/QĐ-TTg ngày 27 tháng 12 năm 2018 của Thủ tướng Chính phủ về việc phê duyệt Đề án văn hóa công vụ;</w:t>
      </w:r>
    </w:p>
    <w:p w:rsidR="00FD2FE6" w:rsidRPr="007A6F7F" w:rsidRDefault="00FD2FE6" w:rsidP="00EB5FEC">
      <w:pPr>
        <w:tabs>
          <w:tab w:val="left" w:pos="567"/>
        </w:tabs>
        <w:jc w:val="both"/>
        <w:rPr>
          <w:i/>
          <w:lang w:val="en-US"/>
        </w:rPr>
      </w:pPr>
      <w:r w:rsidRPr="007A6F7F">
        <w:rPr>
          <w:i/>
          <w:lang w:val="en-US"/>
        </w:rPr>
        <w:t xml:space="preserve">        Thực hiện Công văn số 551/PGDĐT-TCCB ngày 03 tháng 10 năm 2022 của Phòng GDĐT Bàu Bàng</w:t>
      </w:r>
      <w:r w:rsidR="00EB5FEC" w:rsidRPr="007A6F7F">
        <w:rPr>
          <w:i/>
          <w:lang w:val="en-US"/>
        </w:rPr>
        <w:t xml:space="preserve"> về việc triển khai thực hiện Quyết định số 22/2022/QĐ-UBND ngày 29 tháng 7 năm 2022 của Ủy ban nhân dân tỉnh Bình Dương.</w:t>
      </w:r>
    </w:p>
    <w:p w:rsidR="00EB5FEC" w:rsidRDefault="00EB5FEC" w:rsidP="00EB5FEC">
      <w:pPr>
        <w:tabs>
          <w:tab w:val="left" w:pos="567"/>
        </w:tabs>
        <w:jc w:val="both"/>
        <w:rPr>
          <w:lang w:val="en-US"/>
        </w:rPr>
      </w:pPr>
    </w:p>
    <w:p w:rsidR="00EB5FEC" w:rsidRDefault="00EB5FEC" w:rsidP="007A6F7F">
      <w:pPr>
        <w:tabs>
          <w:tab w:val="left" w:pos="567"/>
        </w:tabs>
        <w:jc w:val="center"/>
        <w:rPr>
          <w:b/>
          <w:lang w:val="en-US"/>
        </w:rPr>
      </w:pPr>
      <w:r w:rsidRPr="00EB5FEC">
        <w:rPr>
          <w:b/>
          <w:lang w:val="en-US"/>
        </w:rPr>
        <w:t>QUYẾT ĐỊNH</w:t>
      </w:r>
    </w:p>
    <w:p w:rsidR="007A6F7F" w:rsidRPr="00EB5FEC" w:rsidRDefault="007A6F7F" w:rsidP="007A6F7F">
      <w:pPr>
        <w:tabs>
          <w:tab w:val="left" w:pos="567"/>
        </w:tabs>
        <w:jc w:val="center"/>
        <w:rPr>
          <w:b/>
          <w:lang w:val="en-US"/>
        </w:rPr>
      </w:pPr>
    </w:p>
    <w:p w:rsidR="00EB5FEC" w:rsidRDefault="00EB5FEC" w:rsidP="00EB5FEC">
      <w:pPr>
        <w:tabs>
          <w:tab w:val="left" w:pos="567"/>
        </w:tabs>
        <w:jc w:val="both"/>
        <w:rPr>
          <w:lang w:val="en-US"/>
        </w:rPr>
      </w:pPr>
      <w:r>
        <w:rPr>
          <w:lang w:val="en-US"/>
        </w:rPr>
        <w:t xml:space="preserve">        </w:t>
      </w:r>
      <w:proofErr w:type="gramStart"/>
      <w:r>
        <w:rPr>
          <w:lang w:val="en-US"/>
        </w:rPr>
        <w:t>Điều 1.</w:t>
      </w:r>
      <w:proofErr w:type="gramEnd"/>
      <w:r>
        <w:rPr>
          <w:lang w:val="en-US"/>
        </w:rPr>
        <w:t xml:space="preserve"> Ban hành kèm </w:t>
      </w:r>
      <w:proofErr w:type="gramStart"/>
      <w:r>
        <w:rPr>
          <w:lang w:val="en-US"/>
        </w:rPr>
        <w:t>theo</w:t>
      </w:r>
      <w:proofErr w:type="gramEnd"/>
      <w:r>
        <w:rPr>
          <w:lang w:val="en-US"/>
        </w:rPr>
        <w:t xml:space="preserve"> quyết định này Quy chế văn hóa công vụ của trường THCS Lai Uyên, Bàu Bàng, Bình Dương</w:t>
      </w:r>
    </w:p>
    <w:p w:rsidR="00EB5FEC" w:rsidRDefault="00FB542C" w:rsidP="00EB5FEC">
      <w:pPr>
        <w:tabs>
          <w:tab w:val="left" w:pos="567"/>
        </w:tabs>
        <w:jc w:val="both"/>
        <w:rPr>
          <w:lang w:val="en-US"/>
        </w:rPr>
      </w:pPr>
      <w:r>
        <w:rPr>
          <w:lang w:val="en-US"/>
        </w:rPr>
        <w:t xml:space="preserve">        </w:t>
      </w:r>
      <w:r w:rsidR="00EB5FEC">
        <w:rPr>
          <w:lang w:val="en-US"/>
        </w:rPr>
        <w:t>Điều 2. Quyết định này có hiệu lực từ ngày 01 tháng 01 năm 2023</w:t>
      </w:r>
    </w:p>
    <w:p w:rsidR="00EB5FEC" w:rsidRDefault="00EB5FEC" w:rsidP="00EB5FEC">
      <w:pPr>
        <w:tabs>
          <w:tab w:val="left" w:pos="567"/>
        </w:tabs>
        <w:jc w:val="both"/>
        <w:rPr>
          <w:lang w:val="en-US"/>
        </w:rPr>
      </w:pPr>
      <w:r>
        <w:rPr>
          <w:lang w:val="en-US"/>
        </w:rPr>
        <w:t xml:space="preserve">       </w:t>
      </w:r>
      <w:r w:rsidR="00FB542C">
        <w:rPr>
          <w:lang w:val="en-US"/>
        </w:rPr>
        <w:t xml:space="preserve"> </w:t>
      </w:r>
      <w:r w:rsidR="001C6DB0">
        <w:rPr>
          <w:lang w:val="en-US"/>
        </w:rPr>
        <w:t xml:space="preserve"> </w:t>
      </w:r>
      <w:bookmarkStart w:id="0" w:name="_GoBack"/>
      <w:bookmarkEnd w:id="0"/>
      <w:r>
        <w:rPr>
          <w:lang w:val="en-US"/>
        </w:rPr>
        <w:t>Điều 3. Các đoàn thể, các tổ chuyên môn, văn phòng và toàn thể cán bộ, giáo viên, nhân viên trường THCS Lai Uyên chịu trách nhiệm thi hành quyết định này./.</w:t>
      </w:r>
    </w:p>
    <w:p w:rsidR="00EB5FEC" w:rsidRDefault="00EB5FEC" w:rsidP="00EB5FEC">
      <w:pPr>
        <w:tabs>
          <w:tab w:val="left" w:pos="567"/>
        </w:tabs>
        <w:rPr>
          <w:lang w:val="en-US"/>
        </w:rPr>
      </w:pPr>
    </w:p>
    <w:p w:rsidR="00EB5FEC" w:rsidRPr="00EB5FEC" w:rsidRDefault="00EB5FEC" w:rsidP="00EB5FEC">
      <w:pPr>
        <w:tabs>
          <w:tab w:val="left" w:pos="567"/>
        </w:tabs>
        <w:rPr>
          <w:b/>
          <w:lang w:val="en-US"/>
        </w:rPr>
      </w:pPr>
      <w:r>
        <w:rPr>
          <w:lang w:val="en-US"/>
        </w:rPr>
        <w:t xml:space="preserve">                                                                                          </w:t>
      </w:r>
      <w:r w:rsidRPr="00EB5FEC">
        <w:rPr>
          <w:b/>
          <w:lang w:val="en-US"/>
        </w:rPr>
        <w:t>HIỆU TRƯỞNG</w:t>
      </w:r>
    </w:p>
    <w:p w:rsidR="00EB5FEC" w:rsidRPr="00EB5FEC" w:rsidRDefault="00EB5FEC" w:rsidP="00EB5FEC">
      <w:pPr>
        <w:tabs>
          <w:tab w:val="left" w:pos="567"/>
        </w:tabs>
        <w:rPr>
          <w:b/>
          <w:i/>
          <w:sz w:val="24"/>
          <w:szCs w:val="24"/>
          <w:lang w:val="en-US"/>
        </w:rPr>
      </w:pPr>
      <w:r w:rsidRPr="00EB5FEC">
        <w:rPr>
          <w:b/>
          <w:i/>
          <w:sz w:val="24"/>
          <w:szCs w:val="24"/>
          <w:lang w:val="en-US"/>
        </w:rPr>
        <w:t xml:space="preserve">Nơi nhận: </w:t>
      </w:r>
    </w:p>
    <w:p w:rsidR="00EB5FEC" w:rsidRPr="00EB5FEC" w:rsidRDefault="00EB5FEC" w:rsidP="00EB5FEC">
      <w:pPr>
        <w:pStyle w:val="ListParagraph"/>
        <w:numPr>
          <w:ilvl w:val="0"/>
          <w:numId w:val="1"/>
        </w:numPr>
        <w:tabs>
          <w:tab w:val="left" w:pos="567"/>
        </w:tabs>
        <w:rPr>
          <w:sz w:val="22"/>
          <w:szCs w:val="22"/>
          <w:lang w:val="en-US"/>
        </w:rPr>
      </w:pPr>
      <w:r w:rsidRPr="00EB5FEC">
        <w:rPr>
          <w:sz w:val="22"/>
          <w:szCs w:val="22"/>
          <w:lang w:val="en-US"/>
        </w:rPr>
        <w:t>Như điều 3</w:t>
      </w:r>
    </w:p>
    <w:p w:rsidR="00EB5FEC" w:rsidRPr="00EB5FEC" w:rsidRDefault="00EB5FEC" w:rsidP="00EB5FEC">
      <w:pPr>
        <w:pStyle w:val="ListParagraph"/>
        <w:numPr>
          <w:ilvl w:val="0"/>
          <w:numId w:val="1"/>
        </w:numPr>
        <w:tabs>
          <w:tab w:val="left" w:pos="567"/>
        </w:tabs>
        <w:rPr>
          <w:sz w:val="22"/>
          <w:szCs w:val="22"/>
          <w:lang w:val="en-US"/>
        </w:rPr>
      </w:pPr>
      <w:r w:rsidRPr="00EB5FEC">
        <w:rPr>
          <w:sz w:val="22"/>
          <w:szCs w:val="22"/>
          <w:lang w:val="en-US"/>
        </w:rPr>
        <w:t>Lưu văn thư</w:t>
      </w:r>
    </w:p>
    <w:sectPr w:rsidR="00EB5FEC" w:rsidRPr="00EB5FEC" w:rsidSect="00BD66DE">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05DCA"/>
    <w:multiLevelType w:val="hybridMultilevel"/>
    <w:tmpl w:val="B8729E58"/>
    <w:lvl w:ilvl="0" w:tplc="1D8CE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DE"/>
    <w:rsid w:val="00061A98"/>
    <w:rsid w:val="001C6DB0"/>
    <w:rsid w:val="007A6F7F"/>
    <w:rsid w:val="00836A1B"/>
    <w:rsid w:val="009337C4"/>
    <w:rsid w:val="00B47052"/>
    <w:rsid w:val="00BA796B"/>
    <w:rsid w:val="00BD66DE"/>
    <w:rsid w:val="00EB5FEC"/>
    <w:rsid w:val="00FB542C"/>
    <w:rsid w:val="00FD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DE"/>
    <w:rPr>
      <w:sz w:val="28"/>
      <w:szCs w:val="28"/>
      <w:lang w:val="vi-VN" w:eastAsia="vi-VN"/>
    </w:rPr>
  </w:style>
  <w:style w:type="paragraph" w:styleId="Heading2">
    <w:name w:val="heading 2"/>
    <w:basedOn w:val="Normal"/>
    <w:link w:val="Heading2Char"/>
    <w:qFormat/>
    <w:rsid w:val="00061A9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1A98"/>
    <w:rPr>
      <w:b/>
      <w:bCs/>
      <w:sz w:val="36"/>
      <w:szCs w:val="36"/>
      <w:lang w:val="vi-VN" w:eastAsia="vi-VN"/>
    </w:rPr>
  </w:style>
  <w:style w:type="character" w:styleId="Strong">
    <w:name w:val="Strong"/>
    <w:qFormat/>
    <w:rsid w:val="00061A98"/>
    <w:rPr>
      <w:b/>
      <w:bCs/>
    </w:rPr>
  </w:style>
  <w:style w:type="character" w:styleId="Emphasis">
    <w:name w:val="Emphasis"/>
    <w:qFormat/>
    <w:rsid w:val="00061A98"/>
    <w:rPr>
      <w:i/>
      <w:iCs/>
    </w:rPr>
  </w:style>
  <w:style w:type="paragraph" w:styleId="ListParagraph">
    <w:name w:val="List Paragraph"/>
    <w:basedOn w:val="Normal"/>
    <w:uiPriority w:val="34"/>
    <w:qFormat/>
    <w:rsid w:val="00EB5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DE"/>
    <w:rPr>
      <w:sz w:val="28"/>
      <w:szCs w:val="28"/>
      <w:lang w:val="vi-VN" w:eastAsia="vi-VN"/>
    </w:rPr>
  </w:style>
  <w:style w:type="paragraph" w:styleId="Heading2">
    <w:name w:val="heading 2"/>
    <w:basedOn w:val="Normal"/>
    <w:link w:val="Heading2Char"/>
    <w:qFormat/>
    <w:rsid w:val="00061A9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1A98"/>
    <w:rPr>
      <w:b/>
      <w:bCs/>
      <w:sz w:val="36"/>
      <w:szCs w:val="36"/>
      <w:lang w:val="vi-VN" w:eastAsia="vi-VN"/>
    </w:rPr>
  </w:style>
  <w:style w:type="character" w:styleId="Strong">
    <w:name w:val="Strong"/>
    <w:qFormat/>
    <w:rsid w:val="00061A98"/>
    <w:rPr>
      <w:b/>
      <w:bCs/>
    </w:rPr>
  </w:style>
  <w:style w:type="character" w:styleId="Emphasis">
    <w:name w:val="Emphasis"/>
    <w:qFormat/>
    <w:rsid w:val="00061A98"/>
    <w:rPr>
      <w:i/>
      <w:iCs/>
    </w:rPr>
  </w:style>
  <w:style w:type="paragraph" w:styleId="ListParagraph">
    <w:name w:val="List Paragraph"/>
    <w:basedOn w:val="Normal"/>
    <w:uiPriority w:val="34"/>
    <w:qFormat/>
    <w:rsid w:val="00EB5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6</cp:revision>
  <cp:lastPrinted>2023-01-03T07:58:00Z</cp:lastPrinted>
  <dcterms:created xsi:type="dcterms:W3CDTF">2023-01-02T12:47:00Z</dcterms:created>
  <dcterms:modified xsi:type="dcterms:W3CDTF">2023-01-18T19:29:00Z</dcterms:modified>
</cp:coreProperties>
</file>